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0544" w14:textId="77777777" w:rsidR="00A61E5F" w:rsidRPr="00A34D57" w:rsidRDefault="00D233EA" w:rsidP="00FF7FFB">
      <w:pPr>
        <w:pStyle w:val="Zhlav"/>
        <w:tabs>
          <w:tab w:val="left" w:pos="10773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</w:t>
      </w:r>
      <w:r w:rsidR="00A61E5F" w:rsidRPr="00A34D57">
        <w:rPr>
          <w:rFonts w:ascii="Arial" w:hAnsi="Arial" w:cs="Arial"/>
          <w:b/>
          <w:iCs/>
        </w:rPr>
        <w:t>GENERÁLNÍ FINANČNÍ ŘEDITELSTVÍ</w:t>
      </w:r>
    </w:p>
    <w:p w14:paraId="6228D279" w14:textId="77777777" w:rsidR="00A61E5F" w:rsidRDefault="00A61E5F" w:rsidP="00C70094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>dbor komunikace</w:t>
      </w:r>
      <w:r w:rsidR="00A723F6">
        <w:rPr>
          <w:rFonts w:ascii="Arial" w:hAnsi="Arial" w:cs="Arial"/>
          <w:b/>
          <w:iCs/>
        </w:rPr>
        <w:t xml:space="preserve"> a rozvoje služeb</w:t>
      </w:r>
    </w:p>
    <w:p w14:paraId="531F64D1" w14:textId="77777777" w:rsidR="00A61E5F" w:rsidRPr="00A34D57" w:rsidRDefault="00A61E5F" w:rsidP="00C70094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14:paraId="766B7F3D" w14:textId="77777777" w:rsidR="00714470" w:rsidRDefault="00A61E5F" w:rsidP="00FB16A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>Tel.: 257 044</w:t>
      </w:r>
      <w:r w:rsidR="00FB16A7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14:paraId="14FD34C9" w14:textId="77777777" w:rsidR="00FB16A7" w:rsidRPr="00FB16A7" w:rsidRDefault="00FB16A7" w:rsidP="00FB16A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50DEAC9B" w14:textId="77777777" w:rsidR="007C720D" w:rsidRDefault="00A61E5F" w:rsidP="00714470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14:paraId="099088E2" w14:textId="67E02109" w:rsidR="00B1720F" w:rsidRPr="00B1720F" w:rsidRDefault="00B1720F" w:rsidP="00B1720F">
      <w:pPr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B1720F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První složenky pro zaplacení daně z nemovitých věcí dorazí v těchto dnech </w:t>
      </w:r>
      <w:r w:rsidR="00376F9F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br/>
      </w:r>
      <w:r w:rsidRPr="00B1720F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do schránek poplatníků</w:t>
      </w:r>
    </w:p>
    <w:p w14:paraId="08E00006" w14:textId="1C604AC9" w:rsidR="00B1720F" w:rsidRPr="00B1720F" w:rsidRDefault="00B1720F" w:rsidP="00B1720F">
      <w:pPr>
        <w:jc w:val="both"/>
        <w:rPr>
          <w:rFonts w:eastAsia="Times New Roman" w:cs="Arial"/>
          <w:b/>
          <w:lang w:eastAsia="cs-CZ"/>
        </w:rPr>
      </w:pPr>
      <w:r w:rsidRPr="00763117">
        <w:rPr>
          <w:rFonts w:eastAsia="Times New Roman" w:cs="Arial"/>
          <w:lang w:eastAsia="cs-CZ"/>
        </w:rPr>
        <w:t>Finanční správa</w:t>
      </w:r>
      <w:r>
        <w:rPr>
          <w:rFonts w:eastAsia="Times New Roman" w:cs="Arial"/>
          <w:lang w:eastAsia="cs-CZ"/>
        </w:rPr>
        <w:t xml:space="preserve"> České republiky</w:t>
      </w:r>
      <w:r w:rsidRPr="00763117">
        <w:rPr>
          <w:rFonts w:eastAsia="Times New Roman" w:cs="Arial"/>
          <w:lang w:eastAsia="cs-CZ"/>
        </w:rPr>
        <w:t xml:space="preserve"> v těchto dnech zahájila rozesílku celkem 3,3 mil. obálek se složenkami na zaplacení daně z nemovitých věcí na rok 20</w:t>
      </w:r>
      <w:r>
        <w:rPr>
          <w:rFonts w:eastAsia="Times New Roman" w:cs="Arial"/>
          <w:lang w:eastAsia="cs-CZ"/>
        </w:rPr>
        <w:t xml:space="preserve">20 a informací pro placení daně z nemovitých věcí </w:t>
      </w:r>
      <w:r>
        <w:rPr>
          <w:rFonts w:eastAsia="Times New Roman" w:cs="Arial"/>
          <w:lang w:eastAsia="cs-CZ"/>
        </w:rPr>
        <w:br/>
        <w:t>e-mailem, případně do datové schránky</w:t>
      </w:r>
      <w:r w:rsidRPr="00763117">
        <w:rPr>
          <w:rFonts w:eastAsia="Times New Roman" w:cs="Arial"/>
          <w:lang w:eastAsia="cs-CZ"/>
        </w:rPr>
        <w:t>. Lhůta pro zaplacení daně (nebo její první splátky)</w:t>
      </w:r>
      <w:r>
        <w:rPr>
          <w:rFonts w:eastAsia="Times New Roman" w:cs="Arial"/>
          <w:lang w:eastAsia="cs-CZ"/>
        </w:rPr>
        <w:t xml:space="preserve"> sice končí v souladu se zákonem</w:t>
      </w:r>
      <w:r w:rsidRPr="00763117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až </w:t>
      </w:r>
      <w:r w:rsidRPr="0093398B">
        <w:rPr>
          <w:rFonts w:eastAsia="Times New Roman" w:cs="Arial"/>
          <w:b/>
          <w:lang w:eastAsia="cs-CZ"/>
        </w:rPr>
        <w:t>1. června 2020</w:t>
      </w:r>
      <w:r>
        <w:rPr>
          <w:rFonts w:eastAsia="Times New Roman" w:cs="Arial"/>
          <w:lang w:eastAsia="cs-CZ"/>
        </w:rPr>
        <w:t>, ale vzhledem k současným mimořádným okolnostem upozorňujeme, že u daně nebo splátky daně, která nepřevýší částku 5</w:t>
      </w:r>
      <w:r w:rsidR="00376F9F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000 Kč, postačí obvykle při současné výši </w:t>
      </w:r>
      <w:proofErr w:type="spellStart"/>
      <w:r>
        <w:rPr>
          <w:rFonts w:eastAsia="Times New Roman" w:cs="Arial"/>
          <w:lang w:eastAsia="cs-CZ"/>
        </w:rPr>
        <w:t>repo</w:t>
      </w:r>
      <w:proofErr w:type="spellEnd"/>
      <w:r>
        <w:rPr>
          <w:rFonts w:eastAsia="Times New Roman" w:cs="Arial"/>
          <w:lang w:eastAsia="cs-CZ"/>
        </w:rPr>
        <w:t xml:space="preserve"> sazby stanovené Českou národní bankou uhradit daň bez sankce v podobě úroku z prodlení do </w:t>
      </w:r>
      <w:r w:rsidRPr="0093398B">
        <w:rPr>
          <w:rFonts w:eastAsia="Times New Roman" w:cs="Arial"/>
          <w:b/>
          <w:lang w:eastAsia="cs-CZ"/>
        </w:rPr>
        <w:t>31. července 2020</w:t>
      </w:r>
      <w:r>
        <w:rPr>
          <w:rFonts w:eastAsia="Times New Roman" w:cs="Arial"/>
          <w:lang w:eastAsia="cs-CZ"/>
        </w:rPr>
        <w:t xml:space="preserve">. U nižších částek i o něco později. Tato informace se týká většiny poplatníků daně z nemovitých věcí. </w:t>
      </w:r>
      <w:r w:rsidRPr="009350CC">
        <w:rPr>
          <w:rFonts w:eastAsia="Times New Roman" w:cs="Arial"/>
          <w:b/>
          <w:lang w:eastAsia="cs-CZ"/>
        </w:rPr>
        <w:t>Poplatníkovi sice v tomto období vznikne nedoplatek na dani, ale vzhledem k mimořádné situaci nebude tento</w:t>
      </w:r>
      <w:r w:rsidR="0093398B">
        <w:rPr>
          <w:rFonts w:eastAsia="Times New Roman" w:cs="Arial"/>
          <w:b/>
          <w:lang w:eastAsia="cs-CZ"/>
        </w:rPr>
        <w:t xml:space="preserve"> vzniklý</w:t>
      </w:r>
      <w:r w:rsidRPr="009350CC">
        <w:rPr>
          <w:rFonts w:eastAsia="Times New Roman" w:cs="Arial"/>
          <w:b/>
          <w:lang w:eastAsia="cs-CZ"/>
        </w:rPr>
        <w:t xml:space="preserve"> nedoplatek</w:t>
      </w:r>
      <w:r w:rsidR="0091474C" w:rsidRPr="009350CC">
        <w:rPr>
          <w:rFonts w:eastAsia="Times New Roman" w:cs="Arial"/>
          <w:b/>
          <w:lang w:eastAsia="cs-CZ"/>
        </w:rPr>
        <w:t xml:space="preserve"> </w:t>
      </w:r>
      <w:r w:rsidRPr="009350CC">
        <w:rPr>
          <w:rFonts w:eastAsia="Times New Roman" w:cs="Arial"/>
          <w:b/>
          <w:lang w:eastAsia="cs-CZ"/>
        </w:rPr>
        <w:t xml:space="preserve">do konce srpna 2020 vymáhán. </w:t>
      </w:r>
    </w:p>
    <w:p w14:paraId="146DA952" w14:textId="3FE78F58" w:rsidR="00B1720F" w:rsidRDefault="00B1720F" w:rsidP="00B1720F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Poplatníkům, </w:t>
      </w:r>
      <w:r w:rsidR="0093398B">
        <w:rPr>
          <w:rFonts w:eastAsia="Times New Roman" w:cs="Arial"/>
          <w:lang w:eastAsia="cs-CZ"/>
        </w:rPr>
        <w:t>u kterých je</w:t>
      </w:r>
      <w:r w:rsidR="000E1ECC">
        <w:rPr>
          <w:rFonts w:eastAsia="Times New Roman" w:cs="Arial"/>
          <w:lang w:eastAsia="cs-CZ"/>
        </w:rPr>
        <w:t xml:space="preserve"> první splátka daně </w:t>
      </w:r>
      <w:r w:rsidRPr="0093398B">
        <w:rPr>
          <w:rFonts w:eastAsia="Times New Roman" w:cs="Arial"/>
          <w:b/>
          <w:lang w:eastAsia="cs-CZ"/>
        </w:rPr>
        <w:t>vyšší než 5</w:t>
      </w:r>
      <w:r w:rsidR="00376F9F">
        <w:rPr>
          <w:rFonts w:eastAsia="Times New Roman" w:cs="Arial"/>
          <w:b/>
          <w:lang w:eastAsia="cs-CZ"/>
        </w:rPr>
        <w:t xml:space="preserve"> </w:t>
      </w:r>
      <w:r w:rsidRPr="0093398B">
        <w:rPr>
          <w:rFonts w:eastAsia="Times New Roman" w:cs="Arial"/>
          <w:b/>
          <w:lang w:eastAsia="cs-CZ"/>
        </w:rPr>
        <w:t>000 Kč</w:t>
      </w:r>
      <w:r w:rsidR="0046647B">
        <w:rPr>
          <w:rFonts w:eastAsia="Times New Roman" w:cs="Arial"/>
          <w:b/>
          <w:lang w:eastAsia="cs-CZ"/>
        </w:rPr>
        <w:t xml:space="preserve">, </w:t>
      </w:r>
      <w:r>
        <w:rPr>
          <w:rFonts w:eastAsia="Times New Roman" w:cs="Arial"/>
          <w:lang w:eastAsia="cs-CZ"/>
        </w:rPr>
        <w:t>doporučujeme</w:t>
      </w:r>
      <w:r w:rsidR="0093398B">
        <w:rPr>
          <w:rFonts w:eastAsia="Times New Roman" w:cs="Arial"/>
          <w:lang w:eastAsia="cs-CZ"/>
        </w:rPr>
        <w:t xml:space="preserve"> </w:t>
      </w:r>
      <w:r w:rsidR="0046647B">
        <w:rPr>
          <w:rFonts w:eastAsia="Times New Roman" w:cs="Arial"/>
          <w:lang w:eastAsia="cs-CZ"/>
        </w:rPr>
        <w:t>v</w:t>
      </w:r>
      <w:r>
        <w:rPr>
          <w:rFonts w:eastAsia="Times New Roman" w:cs="Arial"/>
          <w:lang w:eastAsia="cs-CZ"/>
        </w:rPr>
        <w:t xml:space="preserve"> případě, že se neočekávaně dostali do finančních potíží, </w:t>
      </w:r>
      <w:r w:rsidRPr="0093398B">
        <w:rPr>
          <w:rFonts w:eastAsia="Times New Roman" w:cs="Arial"/>
          <w:b/>
          <w:lang w:eastAsia="cs-CZ"/>
        </w:rPr>
        <w:t>využít žádosti o posečkání daně</w:t>
      </w:r>
      <w:r>
        <w:rPr>
          <w:rFonts w:eastAsia="Times New Roman" w:cs="Arial"/>
          <w:lang w:eastAsia="cs-CZ"/>
        </w:rPr>
        <w:t xml:space="preserve"> podle § 156 zákona č.</w:t>
      </w:r>
      <w:r w:rsidR="001E4F74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280/2009 Sb., daňový řád, v platném znění. U žádostí podaných do 31. července 2020 byl prominut správní poplatek. Do 31. července 2020 lze požádat bez správního poplatku individuální žádostí o</w:t>
      </w:r>
      <w:r w:rsidR="001E4F74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prominutí případného úroku nebo úroku z posečkané částky a využít </w:t>
      </w:r>
      <w:hyperlink r:id="rId8" w:history="1">
        <w:r w:rsidRPr="00357C36">
          <w:rPr>
            <w:rStyle w:val="Hypertextovodkaz"/>
            <w:rFonts w:eastAsia="Times New Roman" w:cs="Arial"/>
            <w:lang w:eastAsia="cs-CZ"/>
          </w:rPr>
          <w:t xml:space="preserve">pokyn </w:t>
        </w:r>
        <w:r>
          <w:rPr>
            <w:rStyle w:val="Hypertextovodkaz"/>
            <w:rFonts w:eastAsia="Times New Roman" w:cs="Arial"/>
            <w:lang w:eastAsia="cs-CZ"/>
          </w:rPr>
          <w:t>č. GFŘ-</w:t>
        </w:r>
        <w:r w:rsidRPr="00357C36">
          <w:rPr>
            <w:rStyle w:val="Hypertextovodkaz"/>
            <w:rFonts w:eastAsia="Times New Roman" w:cs="Arial"/>
            <w:lang w:eastAsia="cs-CZ"/>
          </w:rPr>
          <w:t>D-44</w:t>
        </w:r>
      </w:hyperlink>
      <w:r w:rsidR="00376F9F">
        <w:rPr>
          <w:rFonts w:eastAsia="Times New Roman" w:cs="Arial"/>
          <w:lang w:eastAsia="cs-CZ"/>
        </w:rPr>
        <w:t xml:space="preserve"> ve spojení </w:t>
      </w:r>
      <w:r>
        <w:rPr>
          <w:rFonts w:eastAsia="Times New Roman" w:cs="Arial"/>
          <w:lang w:eastAsia="cs-CZ"/>
        </w:rPr>
        <w:t>s </w:t>
      </w:r>
      <w:hyperlink r:id="rId9" w:history="1">
        <w:r w:rsidRPr="007F0D76">
          <w:rPr>
            <w:rStyle w:val="Hypertextovodkaz"/>
            <w:rFonts w:eastAsia="Times New Roman" w:cs="Arial"/>
            <w:lang w:eastAsia="cs-CZ"/>
          </w:rPr>
          <w:t>pokynem č. GFŘ-D-21</w:t>
        </w:r>
      </w:hyperlink>
      <w:r>
        <w:rPr>
          <w:rFonts w:eastAsia="Times New Roman" w:cs="Arial"/>
          <w:lang w:eastAsia="cs-CZ"/>
        </w:rPr>
        <w:t xml:space="preserve">. </w:t>
      </w:r>
    </w:p>
    <w:p w14:paraId="4E0558AC" w14:textId="42FA199F" w:rsidR="00B1720F" w:rsidRPr="00F13364" w:rsidRDefault="0093398B" w:rsidP="00B1720F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Složenky a </w:t>
      </w:r>
      <w:r w:rsidR="00B1720F">
        <w:rPr>
          <w:rFonts w:eastAsia="Times New Roman" w:cs="Arial"/>
          <w:lang w:eastAsia="cs-CZ"/>
        </w:rPr>
        <w:t>informace k</w:t>
      </w:r>
      <w:r w:rsidR="00376F9F">
        <w:rPr>
          <w:rFonts w:eastAsia="Times New Roman" w:cs="Arial"/>
          <w:lang w:eastAsia="cs-CZ"/>
        </w:rPr>
        <w:t> placení daně z nemovitých věcí</w:t>
      </w:r>
      <w:r w:rsidR="00B1720F">
        <w:rPr>
          <w:rFonts w:eastAsia="Times New Roman" w:cs="Arial"/>
          <w:lang w:eastAsia="cs-CZ"/>
        </w:rPr>
        <w:t xml:space="preserve"> by měly být doručeny nejpozději do 25. května </w:t>
      </w:r>
      <w:r>
        <w:rPr>
          <w:rFonts w:eastAsia="Times New Roman" w:cs="Arial"/>
          <w:lang w:eastAsia="cs-CZ"/>
        </w:rPr>
        <w:t>2020</w:t>
      </w:r>
      <w:r w:rsidR="00B1720F">
        <w:rPr>
          <w:rFonts w:eastAsia="Times New Roman" w:cs="Arial"/>
          <w:lang w:eastAsia="cs-CZ"/>
        </w:rPr>
        <w:t xml:space="preserve">, pokud </w:t>
      </w:r>
      <w:r w:rsidR="00B1720F" w:rsidRPr="00F13364">
        <w:rPr>
          <w:rFonts w:eastAsia="Times New Roman" w:cs="Arial"/>
          <w:lang w:eastAsia="cs-CZ"/>
        </w:rPr>
        <w:t>tomu nezabrání nečekané okolnosti</w:t>
      </w:r>
      <w:r w:rsidR="00B1720F">
        <w:rPr>
          <w:rFonts w:eastAsia="Times New Roman" w:cs="Arial"/>
          <w:lang w:eastAsia="cs-CZ"/>
        </w:rPr>
        <w:t xml:space="preserve"> v souvislosti s pandemií</w:t>
      </w:r>
      <w:r w:rsidR="00B1720F" w:rsidRPr="00F13364">
        <w:rPr>
          <w:rFonts w:eastAsia="Times New Roman" w:cs="Arial"/>
          <w:lang w:eastAsia="cs-CZ"/>
        </w:rPr>
        <w:t xml:space="preserve">. </w:t>
      </w:r>
    </w:p>
    <w:p w14:paraId="3E27ACEE" w14:textId="4D67023D" w:rsidR="00B1720F" w:rsidRDefault="00B1720F" w:rsidP="00B1720F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Žádáme poplatníky, aby dodržovali nařízení vlády ve vztahu k</w:t>
      </w:r>
      <w:r w:rsidDel="00357C36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opatřením vydaným v souvislosti s </w:t>
      </w:r>
      <w:proofErr w:type="spellStart"/>
      <w:r>
        <w:rPr>
          <w:rFonts w:eastAsia="Times New Roman" w:cs="Arial"/>
          <w:lang w:eastAsia="cs-CZ"/>
        </w:rPr>
        <w:t>koronavirem</w:t>
      </w:r>
      <w:proofErr w:type="spellEnd"/>
      <w:r>
        <w:rPr>
          <w:rFonts w:eastAsia="Times New Roman" w:cs="Arial"/>
          <w:lang w:eastAsia="cs-CZ"/>
        </w:rPr>
        <w:t xml:space="preserve"> a přizpůsobili této situaci způsob úhrady daně. </w:t>
      </w:r>
      <w:r w:rsidR="0093398B">
        <w:rPr>
          <w:rFonts w:eastAsia="Times New Roman" w:cs="Arial"/>
          <w:lang w:eastAsia="cs-CZ"/>
        </w:rPr>
        <w:t>Finanční správa preferuje</w:t>
      </w:r>
      <w:r>
        <w:rPr>
          <w:rFonts w:eastAsia="Times New Roman" w:cs="Arial"/>
          <w:lang w:eastAsia="cs-CZ"/>
        </w:rPr>
        <w:t xml:space="preserve"> úhradu </w:t>
      </w:r>
      <w:r w:rsidRPr="00004B58">
        <w:rPr>
          <w:rFonts w:eastAsia="Times New Roman" w:cs="Arial"/>
          <w:b/>
          <w:lang w:eastAsia="cs-CZ"/>
        </w:rPr>
        <w:t>bankovním převodem</w:t>
      </w:r>
      <w:r w:rsidR="0093398B">
        <w:rPr>
          <w:rFonts w:eastAsia="Times New Roman" w:cs="Arial"/>
          <w:lang w:eastAsia="cs-CZ"/>
        </w:rPr>
        <w:t>. P</w:t>
      </w:r>
      <w:r>
        <w:rPr>
          <w:rFonts w:eastAsia="Times New Roman" w:cs="Arial"/>
          <w:lang w:eastAsia="cs-CZ"/>
        </w:rPr>
        <w:t>ři platbě na pokladně finančního úřadu, případně na poště, by mohlo docházet k n</w:t>
      </w:r>
      <w:r w:rsidR="0093398B">
        <w:rPr>
          <w:rFonts w:eastAsia="Times New Roman" w:cs="Arial"/>
          <w:lang w:eastAsia="cs-CZ"/>
        </w:rPr>
        <w:t>ežádoucímu setrvávání ve frontě.</w:t>
      </w:r>
      <w:r>
        <w:rPr>
          <w:rFonts w:eastAsia="Times New Roman" w:cs="Arial"/>
          <w:lang w:eastAsia="cs-CZ"/>
        </w:rPr>
        <w:t xml:space="preserve"> Platbu daně může provést kdokoliv z rodiny, aby se zejména starší poplatníci n</w:t>
      </w:r>
      <w:r w:rsidR="00567741">
        <w:rPr>
          <w:rFonts w:eastAsia="Times New Roman" w:cs="Arial"/>
          <w:lang w:eastAsia="cs-CZ"/>
        </w:rPr>
        <w:t xml:space="preserve">evystavovali nebezpečí kontaktu </w:t>
      </w:r>
      <w:r>
        <w:rPr>
          <w:rFonts w:eastAsia="Times New Roman" w:cs="Arial"/>
          <w:lang w:eastAsia="cs-CZ"/>
        </w:rPr>
        <w:t>s dalšími lidmi, stačí uvést správný banko</w:t>
      </w:r>
      <w:r w:rsidR="00567741">
        <w:rPr>
          <w:rFonts w:eastAsia="Times New Roman" w:cs="Arial"/>
          <w:lang w:eastAsia="cs-CZ"/>
        </w:rPr>
        <w:t>vní účet f</w:t>
      </w:r>
      <w:r>
        <w:rPr>
          <w:rFonts w:eastAsia="Times New Roman" w:cs="Arial"/>
          <w:lang w:eastAsia="cs-CZ"/>
        </w:rPr>
        <w:t xml:space="preserve">inančního úřadu a </w:t>
      </w:r>
      <w:r w:rsidRPr="0093398B">
        <w:rPr>
          <w:rFonts w:eastAsia="Times New Roman" w:cs="Arial"/>
          <w:b/>
          <w:lang w:eastAsia="cs-CZ"/>
        </w:rPr>
        <w:t>variabilní symbol</w:t>
      </w:r>
      <w:r>
        <w:rPr>
          <w:rFonts w:eastAsia="Times New Roman" w:cs="Arial"/>
          <w:lang w:eastAsia="cs-CZ"/>
        </w:rPr>
        <w:t xml:space="preserve">, což je u </w:t>
      </w:r>
      <w:r w:rsidRPr="0093398B">
        <w:rPr>
          <w:rFonts w:eastAsia="Times New Roman" w:cs="Arial"/>
          <w:b/>
          <w:lang w:eastAsia="cs-CZ"/>
        </w:rPr>
        <w:t>fyzických osob rodné číslo poplatníka</w:t>
      </w:r>
      <w:r>
        <w:rPr>
          <w:rFonts w:eastAsia="Times New Roman" w:cs="Arial"/>
          <w:lang w:eastAsia="cs-CZ"/>
        </w:rPr>
        <w:t>. Všechny údaje důležité pro platbu daně jsou uvedeny na složence.</w:t>
      </w:r>
    </w:p>
    <w:p w14:paraId="1321F643" w14:textId="77777777" w:rsidR="00B1720F" w:rsidRDefault="00B1720F" w:rsidP="00B1720F">
      <w:pPr>
        <w:jc w:val="both"/>
        <w:rPr>
          <w:rFonts w:eastAsia="Times New Roman" w:cs="Arial"/>
          <w:lang w:eastAsia="cs-CZ"/>
        </w:rPr>
      </w:pPr>
    </w:p>
    <w:p w14:paraId="18F12CFA" w14:textId="77777777" w:rsidR="00B1720F" w:rsidRDefault="00B1720F" w:rsidP="00B1720F">
      <w:pPr>
        <w:jc w:val="both"/>
        <w:rPr>
          <w:rFonts w:eastAsia="Times New Roman" w:cs="Arial"/>
          <w:lang w:eastAsia="cs-CZ"/>
        </w:rPr>
      </w:pPr>
    </w:p>
    <w:p w14:paraId="679869EE" w14:textId="77777777" w:rsidR="00B1720F" w:rsidRDefault="00B1720F" w:rsidP="00B1720F">
      <w:pPr>
        <w:jc w:val="both"/>
        <w:rPr>
          <w:rFonts w:eastAsia="Times New Roman" w:cs="Arial"/>
          <w:lang w:eastAsia="cs-CZ"/>
        </w:rPr>
      </w:pPr>
    </w:p>
    <w:p w14:paraId="6C19C632" w14:textId="77777777" w:rsidR="000E1ECC" w:rsidRDefault="000E1ECC" w:rsidP="00B1720F">
      <w:pPr>
        <w:jc w:val="both"/>
        <w:rPr>
          <w:rFonts w:eastAsia="Times New Roman" w:cs="Arial"/>
          <w:lang w:eastAsia="cs-CZ"/>
        </w:rPr>
      </w:pPr>
    </w:p>
    <w:p w14:paraId="33D5518B" w14:textId="77777777" w:rsidR="000E1ECC" w:rsidRDefault="000E1ECC" w:rsidP="00B1720F">
      <w:pPr>
        <w:jc w:val="both"/>
        <w:rPr>
          <w:rFonts w:eastAsia="Times New Roman" w:cs="Arial"/>
          <w:lang w:eastAsia="cs-CZ"/>
        </w:rPr>
      </w:pPr>
    </w:p>
    <w:p w14:paraId="5D24CD44" w14:textId="30CBAC13" w:rsidR="00B1720F" w:rsidRDefault="00B1720F" w:rsidP="00B1720F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 xml:space="preserve">Podrobnější informace k placení daně z nemovitých věcí naleznete </w:t>
      </w:r>
      <w:hyperlink r:id="rId10" w:history="1">
        <w:r w:rsidRPr="0093398B">
          <w:rPr>
            <w:rStyle w:val="Hypertextovodkaz"/>
            <w:rFonts w:eastAsia="Times New Roman" w:cs="Arial"/>
            <w:lang w:eastAsia="cs-CZ"/>
          </w:rPr>
          <w:t>zd</w:t>
        </w:r>
        <w:r w:rsidRPr="0093398B">
          <w:rPr>
            <w:rStyle w:val="Hypertextovodkaz"/>
            <w:rFonts w:eastAsia="Times New Roman" w:cs="Arial"/>
            <w:lang w:eastAsia="cs-CZ"/>
          </w:rPr>
          <w:t>e</w:t>
        </w:r>
        <w:r w:rsidRPr="0093398B">
          <w:rPr>
            <w:rStyle w:val="Hypertextovodkaz"/>
            <w:rFonts w:eastAsia="Times New Roman" w:cs="Arial"/>
            <w:lang w:eastAsia="cs-CZ"/>
          </w:rPr>
          <w:t>:</w:t>
        </w:r>
      </w:hyperlink>
      <w:bookmarkStart w:id="0" w:name="_GoBack"/>
      <w:bookmarkEnd w:id="0"/>
    </w:p>
    <w:p w14:paraId="67E38291" w14:textId="77777777" w:rsidR="00B1720F" w:rsidRPr="00763117" w:rsidRDefault="00B1720F" w:rsidP="00B1720F">
      <w:pPr>
        <w:jc w:val="both"/>
        <w:rPr>
          <w:rFonts w:eastAsia="Times New Roman" w:cs="Arial"/>
          <w:lang w:eastAsia="cs-CZ"/>
        </w:rPr>
      </w:pPr>
      <w:r w:rsidRPr="00C17A8E">
        <w:rPr>
          <w:rFonts w:eastAsia="Times New Roman" w:cs="Arial"/>
          <w:b/>
          <w:bCs/>
          <w:lang w:eastAsia="cs-CZ"/>
        </w:rPr>
        <w:t>Čísla bankovních účtů finančních úřadů pro placení daně z nemovitých věcí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656"/>
      </w:tblGrid>
      <w:tr w:rsidR="00B1720F" w:rsidRPr="004B7224" w14:paraId="611452AD" w14:textId="77777777" w:rsidTr="00874A0A">
        <w:trPr>
          <w:trHeight w:val="340"/>
        </w:trPr>
        <w:tc>
          <w:tcPr>
            <w:tcW w:w="4605" w:type="dxa"/>
            <w:hideMark/>
          </w:tcPr>
          <w:p w14:paraId="1E14DEDA" w14:textId="77777777" w:rsidR="00B1720F" w:rsidRPr="004B7224" w:rsidRDefault="00B1720F" w:rsidP="00874A0A">
            <w:pPr>
              <w:rPr>
                <w:rFonts w:cstheme="minorHAnsi"/>
                <w:b/>
              </w:rPr>
            </w:pPr>
            <w:r w:rsidRPr="004B7224">
              <w:rPr>
                <w:rFonts w:cstheme="minorHAnsi"/>
                <w:b/>
              </w:rPr>
              <w:t xml:space="preserve">Finanční úřad pro hlavní město Prahu </w:t>
            </w:r>
          </w:p>
        </w:tc>
        <w:tc>
          <w:tcPr>
            <w:tcW w:w="4717" w:type="dxa"/>
            <w:hideMark/>
          </w:tcPr>
          <w:p w14:paraId="21B6136F" w14:textId="77777777" w:rsidR="00B1720F" w:rsidRPr="004B7224" w:rsidRDefault="00B1720F" w:rsidP="00874A0A">
            <w:pPr>
              <w:outlineLvl w:val="0"/>
              <w:rPr>
                <w:rFonts w:cstheme="minorHAnsi"/>
              </w:rPr>
            </w:pPr>
            <w:r w:rsidRPr="004B7224">
              <w:rPr>
                <w:rFonts w:cstheme="minorHAnsi"/>
              </w:rPr>
              <w:t>7755-77628031/0710</w:t>
            </w:r>
          </w:p>
        </w:tc>
      </w:tr>
      <w:tr w:rsidR="00B1720F" w:rsidRPr="004B7224" w14:paraId="07150ED1" w14:textId="77777777" w:rsidTr="00874A0A">
        <w:trPr>
          <w:trHeight w:val="340"/>
        </w:trPr>
        <w:tc>
          <w:tcPr>
            <w:tcW w:w="4605" w:type="dxa"/>
            <w:hideMark/>
          </w:tcPr>
          <w:p w14:paraId="63B4B061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>Finanční úřad pro Středočeský kraj</w:t>
            </w:r>
          </w:p>
        </w:tc>
        <w:tc>
          <w:tcPr>
            <w:tcW w:w="4717" w:type="dxa"/>
            <w:hideMark/>
          </w:tcPr>
          <w:p w14:paraId="25DF6AE8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7755-77628111/0710</w:t>
            </w:r>
          </w:p>
        </w:tc>
      </w:tr>
      <w:tr w:rsidR="00B1720F" w:rsidRPr="004B7224" w14:paraId="6E5FB55D" w14:textId="77777777" w:rsidTr="00874A0A">
        <w:trPr>
          <w:trHeight w:val="340"/>
        </w:trPr>
        <w:tc>
          <w:tcPr>
            <w:tcW w:w="4605" w:type="dxa"/>
            <w:hideMark/>
          </w:tcPr>
          <w:p w14:paraId="4DE614CF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>Finanční úřad pro Jihočeský kraj</w:t>
            </w:r>
          </w:p>
        </w:tc>
        <w:tc>
          <w:tcPr>
            <w:tcW w:w="4717" w:type="dxa"/>
            <w:hideMark/>
          </w:tcPr>
          <w:p w14:paraId="0EB91B79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7755-77627231/0710</w:t>
            </w:r>
          </w:p>
        </w:tc>
      </w:tr>
      <w:tr w:rsidR="00B1720F" w:rsidRPr="004B7224" w14:paraId="5B5DF798" w14:textId="77777777" w:rsidTr="00874A0A">
        <w:trPr>
          <w:trHeight w:val="340"/>
        </w:trPr>
        <w:tc>
          <w:tcPr>
            <w:tcW w:w="4605" w:type="dxa"/>
            <w:hideMark/>
          </w:tcPr>
          <w:p w14:paraId="68BDAAC4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>Finanční úřad pro Plzeňský kraj</w:t>
            </w:r>
          </w:p>
        </w:tc>
        <w:tc>
          <w:tcPr>
            <w:tcW w:w="4717" w:type="dxa"/>
            <w:hideMark/>
          </w:tcPr>
          <w:p w14:paraId="4F4D1651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7755-77627311/0710</w:t>
            </w:r>
          </w:p>
        </w:tc>
      </w:tr>
      <w:tr w:rsidR="00B1720F" w:rsidRPr="004B7224" w14:paraId="32C0E9FE" w14:textId="77777777" w:rsidTr="00874A0A">
        <w:trPr>
          <w:trHeight w:val="340"/>
        </w:trPr>
        <w:tc>
          <w:tcPr>
            <w:tcW w:w="4605" w:type="dxa"/>
            <w:hideMark/>
          </w:tcPr>
          <w:p w14:paraId="3EF057B6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Karlovarský kraj </w:t>
            </w:r>
          </w:p>
        </w:tc>
        <w:tc>
          <w:tcPr>
            <w:tcW w:w="4717" w:type="dxa"/>
            <w:hideMark/>
          </w:tcPr>
          <w:p w14:paraId="2561C4A0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7755-77629341/0710</w:t>
            </w:r>
          </w:p>
        </w:tc>
      </w:tr>
      <w:tr w:rsidR="00B1720F" w:rsidRPr="004B7224" w14:paraId="1F830A52" w14:textId="77777777" w:rsidTr="00874A0A">
        <w:trPr>
          <w:trHeight w:val="340"/>
        </w:trPr>
        <w:tc>
          <w:tcPr>
            <w:tcW w:w="4605" w:type="dxa"/>
            <w:hideMark/>
          </w:tcPr>
          <w:p w14:paraId="2DDD9422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Ústecký kraj </w:t>
            </w:r>
          </w:p>
        </w:tc>
        <w:tc>
          <w:tcPr>
            <w:tcW w:w="4717" w:type="dxa"/>
            <w:hideMark/>
          </w:tcPr>
          <w:p w14:paraId="2888B48B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7755-77621411/0710</w:t>
            </w:r>
          </w:p>
        </w:tc>
      </w:tr>
      <w:tr w:rsidR="00B1720F" w:rsidRPr="004B7224" w14:paraId="1E0C4196" w14:textId="77777777" w:rsidTr="00874A0A">
        <w:trPr>
          <w:trHeight w:val="340"/>
        </w:trPr>
        <w:tc>
          <w:tcPr>
            <w:tcW w:w="4605" w:type="dxa"/>
            <w:hideMark/>
          </w:tcPr>
          <w:p w14:paraId="012FACC2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Liberecký kraj </w:t>
            </w:r>
          </w:p>
        </w:tc>
        <w:tc>
          <w:tcPr>
            <w:tcW w:w="4717" w:type="dxa"/>
            <w:hideMark/>
          </w:tcPr>
          <w:p w14:paraId="1D032E19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7755-77628461/0710</w:t>
            </w:r>
          </w:p>
        </w:tc>
      </w:tr>
      <w:tr w:rsidR="00B1720F" w:rsidRPr="004B7224" w14:paraId="7ABFE05E" w14:textId="77777777" w:rsidTr="00874A0A">
        <w:trPr>
          <w:trHeight w:val="340"/>
        </w:trPr>
        <w:tc>
          <w:tcPr>
            <w:tcW w:w="4605" w:type="dxa"/>
            <w:hideMark/>
          </w:tcPr>
          <w:p w14:paraId="573CE7ED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Královéhradecký kraj </w:t>
            </w:r>
          </w:p>
        </w:tc>
        <w:tc>
          <w:tcPr>
            <w:tcW w:w="4717" w:type="dxa"/>
            <w:hideMark/>
          </w:tcPr>
          <w:p w14:paraId="569A5BC8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7755-77626511/0710</w:t>
            </w:r>
          </w:p>
        </w:tc>
      </w:tr>
      <w:tr w:rsidR="00B1720F" w:rsidRPr="004B7224" w14:paraId="424F07E9" w14:textId="77777777" w:rsidTr="00874A0A">
        <w:trPr>
          <w:trHeight w:val="340"/>
        </w:trPr>
        <w:tc>
          <w:tcPr>
            <w:tcW w:w="4605" w:type="dxa"/>
            <w:hideMark/>
          </w:tcPr>
          <w:p w14:paraId="2E0F78C0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Pardubický kraj </w:t>
            </w:r>
          </w:p>
        </w:tc>
        <w:tc>
          <w:tcPr>
            <w:tcW w:w="4717" w:type="dxa"/>
            <w:hideMark/>
          </w:tcPr>
          <w:p w14:paraId="2298284E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7755-77622561/0710</w:t>
            </w:r>
          </w:p>
        </w:tc>
      </w:tr>
      <w:tr w:rsidR="00B1720F" w:rsidRPr="004B7224" w14:paraId="3B2BD2B3" w14:textId="77777777" w:rsidTr="00874A0A">
        <w:trPr>
          <w:trHeight w:val="340"/>
        </w:trPr>
        <w:tc>
          <w:tcPr>
            <w:tcW w:w="4605" w:type="dxa"/>
            <w:hideMark/>
          </w:tcPr>
          <w:p w14:paraId="6CEF4BBC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Kraj Vysočina </w:t>
            </w:r>
          </w:p>
        </w:tc>
        <w:tc>
          <w:tcPr>
            <w:tcW w:w="4717" w:type="dxa"/>
            <w:hideMark/>
          </w:tcPr>
          <w:p w14:paraId="33396030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7755-67626681/0710</w:t>
            </w:r>
          </w:p>
        </w:tc>
      </w:tr>
      <w:tr w:rsidR="00B1720F" w:rsidRPr="004B7224" w14:paraId="5396897B" w14:textId="77777777" w:rsidTr="00874A0A">
        <w:trPr>
          <w:trHeight w:val="340"/>
        </w:trPr>
        <w:tc>
          <w:tcPr>
            <w:tcW w:w="4605" w:type="dxa"/>
            <w:hideMark/>
          </w:tcPr>
          <w:p w14:paraId="1B3EFEE3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Jihomoravský kraj </w:t>
            </w:r>
          </w:p>
        </w:tc>
        <w:tc>
          <w:tcPr>
            <w:tcW w:w="4717" w:type="dxa"/>
            <w:hideMark/>
          </w:tcPr>
          <w:p w14:paraId="5AC5067B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7755-77628621/0710</w:t>
            </w:r>
          </w:p>
        </w:tc>
      </w:tr>
      <w:tr w:rsidR="00B1720F" w:rsidRPr="004B7224" w14:paraId="3F937F85" w14:textId="77777777" w:rsidTr="00874A0A">
        <w:trPr>
          <w:trHeight w:val="340"/>
        </w:trPr>
        <w:tc>
          <w:tcPr>
            <w:tcW w:w="4605" w:type="dxa"/>
            <w:hideMark/>
          </w:tcPr>
          <w:p w14:paraId="512503A2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Olomoucký kraj </w:t>
            </w:r>
          </w:p>
        </w:tc>
        <w:tc>
          <w:tcPr>
            <w:tcW w:w="4717" w:type="dxa"/>
            <w:hideMark/>
          </w:tcPr>
          <w:p w14:paraId="1409306D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7755-47623811/0710</w:t>
            </w:r>
          </w:p>
        </w:tc>
      </w:tr>
      <w:tr w:rsidR="00B1720F" w:rsidRPr="004B7224" w14:paraId="14F16269" w14:textId="77777777" w:rsidTr="00874A0A">
        <w:trPr>
          <w:trHeight w:val="340"/>
        </w:trPr>
        <w:tc>
          <w:tcPr>
            <w:tcW w:w="4605" w:type="dxa"/>
            <w:hideMark/>
          </w:tcPr>
          <w:p w14:paraId="188FD474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Moravskoslezský kraj </w:t>
            </w:r>
          </w:p>
        </w:tc>
        <w:tc>
          <w:tcPr>
            <w:tcW w:w="4717" w:type="dxa"/>
            <w:hideMark/>
          </w:tcPr>
          <w:p w14:paraId="60D63663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7755-77621761/0710</w:t>
            </w:r>
          </w:p>
        </w:tc>
      </w:tr>
      <w:tr w:rsidR="00B1720F" w:rsidRPr="004B7224" w14:paraId="1770D863" w14:textId="77777777" w:rsidTr="00874A0A">
        <w:trPr>
          <w:trHeight w:val="340"/>
        </w:trPr>
        <w:tc>
          <w:tcPr>
            <w:tcW w:w="4605" w:type="dxa"/>
            <w:hideMark/>
          </w:tcPr>
          <w:p w14:paraId="0B5925F2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Zlínský kraj </w:t>
            </w:r>
          </w:p>
        </w:tc>
        <w:tc>
          <w:tcPr>
            <w:tcW w:w="4717" w:type="dxa"/>
            <w:hideMark/>
          </w:tcPr>
          <w:p w14:paraId="7611798C" w14:textId="77777777" w:rsidR="00B1720F" w:rsidRPr="004B7224" w:rsidRDefault="00B1720F" w:rsidP="00874A0A">
            <w:pPr>
              <w:rPr>
                <w:rFonts w:cstheme="minorHAnsi"/>
              </w:rPr>
            </w:pPr>
            <w:r w:rsidRPr="004B5911">
              <w:rPr>
                <w:rFonts w:cstheme="minorHAnsi"/>
              </w:rPr>
              <w:t>7755-47620661/0710</w:t>
            </w:r>
          </w:p>
        </w:tc>
      </w:tr>
    </w:tbl>
    <w:p w14:paraId="5F2A106D" w14:textId="77777777" w:rsidR="00B1720F" w:rsidRDefault="00B1720F" w:rsidP="00B1720F">
      <w:pPr>
        <w:jc w:val="both"/>
        <w:rPr>
          <w:rFonts w:eastAsia="Times New Roman" w:cs="Arial"/>
          <w:b/>
          <w:bCs/>
          <w:lang w:eastAsia="cs-CZ"/>
        </w:rPr>
      </w:pPr>
    </w:p>
    <w:p w14:paraId="6BC503DB" w14:textId="77777777" w:rsidR="00B1720F" w:rsidRPr="00C17A8E" w:rsidRDefault="00B1720F" w:rsidP="00B1720F">
      <w:pPr>
        <w:jc w:val="both"/>
        <w:rPr>
          <w:rFonts w:eastAsia="Times New Roman" w:cs="Arial"/>
          <w:lang w:eastAsia="cs-CZ"/>
        </w:rPr>
      </w:pPr>
      <w:r w:rsidRPr="00C17A8E">
        <w:rPr>
          <w:rFonts w:eastAsia="Times New Roman" w:cs="Arial"/>
          <w:b/>
          <w:bCs/>
          <w:lang w:eastAsia="cs-CZ"/>
        </w:rPr>
        <w:t>Variabilní symbol:</w:t>
      </w:r>
      <w:r w:rsidRPr="00763117">
        <w:rPr>
          <w:rFonts w:eastAsia="Times New Roman" w:cs="Arial"/>
          <w:lang w:eastAsia="cs-CZ"/>
        </w:rPr>
        <w:t xml:space="preserve"> </w:t>
      </w:r>
    </w:p>
    <w:p w14:paraId="0031D5BC" w14:textId="77777777" w:rsidR="00B1720F" w:rsidRPr="00B1720F" w:rsidRDefault="00B1720F" w:rsidP="00B1720F">
      <w:pPr>
        <w:jc w:val="both"/>
        <w:rPr>
          <w:rFonts w:eastAsia="Times New Roman" w:cs="Arial"/>
          <w:lang w:eastAsia="cs-CZ"/>
        </w:rPr>
      </w:pPr>
      <w:r w:rsidRPr="00763117">
        <w:rPr>
          <w:rFonts w:eastAsia="Times New Roman" w:cs="Arial"/>
          <w:lang w:eastAsia="cs-CZ"/>
        </w:rPr>
        <w:t>rodné číslo poplatníka – fyzické osoby nebo IČ právnické osoby</w:t>
      </w:r>
    </w:p>
    <w:p w14:paraId="12E13370" w14:textId="77777777" w:rsidR="00B1720F" w:rsidRPr="00C17A8E" w:rsidRDefault="00B1720F" w:rsidP="00B1720F">
      <w:pPr>
        <w:jc w:val="both"/>
        <w:rPr>
          <w:rFonts w:eastAsia="Times New Roman" w:cs="Arial"/>
          <w:lang w:eastAsia="cs-CZ"/>
        </w:rPr>
      </w:pPr>
      <w:r w:rsidRPr="00C17A8E">
        <w:rPr>
          <w:rFonts w:eastAsia="Times New Roman" w:cs="Arial"/>
          <w:b/>
          <w:bCs/>
          <w:lang w:eastAsia="cs-CZ"/>
        </w:rPr>
        <w:t>Konstantní symbol:</w:t>
      </w:r>
      <w:r w:rsidRPr="00763117">
        <w:rPr>
          <w:rFonts w:eastAsia="Times New Roman" w:cs="Arial"/>
          <w:lang w:eastAsia="cs-CZ"/>
        </w:rPr>
        <w:t xml:space="preserve"> </w:t>
      </w:r>
    </w:p>
    <w:p w14:paraId="647F149F" w14:textId="77777777" w:rsidR="00B1720F" w:rsidRPr="00C17A8E" w:rsidRDefault="00B1720F" w:rsidP="00B1720F">
      <w:pPr>
        <w:jc w:val="both"/>
        <w:rPr>
          <w:rFonts w:eastAsia="Times New Roman" w:cs="Arial"/>
          <w:lang w:eastAsia="cs-CZ"/>
        </w:rPr>
      </w:pPr>
      <w:r w:rsidRPr="00763117">
        <w:rPr>
          <w:rFonts w:eastAsia="Times New Roman" w:cs="Arial"/>
          <w:lang w:eastAsia="cs-CZ"/>
        </w:rPr>
        <w:t>1148 – při bezhotovostní platbě převodem z</w:t>
      </w:r>
      <w:r w:rsidRPr="00C17A8E">
        <w:rPr>
          <w:rFonts w:eastAsia="Times New Roman" w:cs="Arial"/>
          <w:lang w:eastAsia="cs-CZ"/>
        </w:rPr>
        <w:t> </w:t>
      </w:r>
      <w:r w:rsidRPr="00763117">
        <w:rPr>
          <w:rFonts w:eastAsia="Times New Roman" w:cs="Arial"/>
          <w:lang w:eastAsia="cs-CZ"/>
        </w:rPr>
        <w:t>účtu</w:t>
      </w:r>
    </w:p>
    <w:p w14:paraId="7A470429" w14:textId="77777777" w:rsidR="00B1720F" w:rsidRPr="00C17A8E" w:rsidRDefault="00B1720F" w:rsidP="00B1720F">
      <w:pPr>
        <w:jc w:val="both"/>
        <w:rPr>
          <w:rFonts w:eastAsia="Times New Roman" w:cs="Arial"/>
          <w:lang w:eastAsia="cs-CZ"/>
        </w:rPr>
      </w:pPr>
      <w:r w:rsidRPr="00763117">
        <w:rPr>
          <w:rFonts w:eastAsia="Times New Roman" w:cs="Arial"/>
          <w:lang w:eastAsia="cs-CZ"/>
        </w:rPr>
        <w:t>1149 – při hotovostní platbě běžnou poštovní poukázkou</w:t>
      </w:r>
    </w:p>
    <w:p w14:paraId="11779A99" w14:textId="77777777" w:rsidR="00B1720F" w:rsidRPr="00B1720F" w:rsidRDefault="00B1720F" w:rsidP="00B1720F">
      <w:pPr>
        <w:jc w:val="both"/>
        <w:rPr>
          <w:rFonts w:eastAsia="Times New Roman" w:cs="Arial"/>
          <w:lang w:eastAsia="cs-CZ"/>
        </w:rPr>
      </w:pPr>
      <w:r w:rsidRPr="00763117">
        <w:rPr>
          <w:rFonts w:eastAsia="Times New Roman" w:cs="Arial"/>
          <w:lang w:eastAsia="cs-CZ"/>
        </w:rPr>
        <w:t>0001 – při hotovostní platbě daňovou složenkou</w:t>
      </w:r>
    </w:p>
    <w:p w14:paraId="3472A33E" w14:textId="77777777" w:rsidR="00DC2EC0" w:rsidRDefault="00B1720F" w:rsidP="00B1720F">
      <w:pPr>
        <w:jc w:val="both"/>
        <w:rPr>
          <w:rFonts w:eastAsia="Times New Roman" w:cs="Arial"/>
          <w:color w:val="0000FF"/>
          <w:u w:val="single"/>
          <w:lang w:eastAsia="cs-CZ"/>
        </w:rPr>
      </w:pPr>
      <w:r w:rsidRPr="00C17A8E">
        <w:rPr>
          <w:rFonts w:eastAsia="Times New Roman" w:cs="Arial"/>
          <w:b/>
          <w:bCs/>
          <w:lang w:eastAsia="cs-CZ"/>
        </w:rPr>
        <w:t>Užitečné odkazy:</w:t>
      </w:r>
      <w:r w:rsidRPr="00763117">
        <w:rPr>
          <w:rFonts w:eastAsia="Times New Roman" w:cs="Arial"/>
          <w:lang w:eastAsia="cs-CZ"/>
        </w:rPr>
        <w:t xml:space="preserve"> </w:t>
      </w:r>
      <w:hyperlink r:id="rId11" w:tooltip="http://www.financnisprava.cz/cs/dane/dane/dan-z-nemovitych-veci/Slozenky-pro-placeni-dane-z-nemovitych-veci" w:history="1">
        <w:r w:rsidRPr="00C17A8E">
          <w:rPr>
            <w:rFonts w:eastAsia="Times New Roman" w:cs="Arial"/>
            <w:color w:val="0000FF"/>
            <w:u w:val="single"/>
            <w:lang w:eastAsia="cs-CZ"/>
          </w:rPr>
          <w:t>Informace k zasílání složenek</w:t>
        </w:r>
      </w:hyperlink>
      <w:r w:rsidRPr="00763117">
        <w:rPr>
          <w:rFonts w:eastAsia="Times New Roman" w:cs="Arial"/>
          <w:lang w:eastAsia="cs-CZ"/>
        </w:rPr>
        <w:t xml:space="preserve">, </w:t>
      </w:r>
      <w:hyperlink r:id="rId12" w:tooltip="https://www.financnisprava.cz/cs/dane/placeni-dani/jak-spravne-zaplatit-dan/2019/2019-jak-spravne-zaplatit-dan-fu-9533" w:history="1">
        <w:r w:rsidRPr="00C17A8E">
          <w:rPr>
            <w:rFonts w:eastAsia="Times New Roman" w:cs="Arial"/>
            <w:color w:val="0000FF"/>
            <w:u w:val="single"/>
            <w:lang w:eastAsia="cs-CZ"/>
          </w:rPr>
          <w:t>Jak správně zaplatit daň</w:t>
        </w:r>
      </w:hyperlink>
      <w:r w:rsidRPr="00763117">
        <w:rPr>
          <w:rFonts w:eastAsia="Times New Roman" w:cs="Arial"/>
          <w:lang w:eastAsia="cs-CZ"/>
        </w:rPr>
        <w:t xml:space="preserve">, </w:t>
      </w:r>
      <w:hyperlink r:id="rId13" w:tooltip="http://www.financnisprava.cz/email" w:history="1">
        <w:r w:rsidRPr="00C17A8E">
          <w:rPr>
            <w:rFonts w:eastAsia="Times New Roman" w:cs="Arial"/>
            <w:color w:val="0000FF"/>
            <w:u w:val="single"/>
            <w:lang w:eastAsia="cs-CZ"/>
          </w:rPr>
          <w:t>Zasílání údajů pro placení daně e-mailem</w:t>
        </w:r>
      </w:hyperlink>
      <w:r w:rsidRPr="00763117">
        <w:rPr>
          <w:rFonts w:eastAsia="Times New Roman" w:cs="Arial"/>
          <w:lang w:eastAsia="cs-CZ"/>
        </w:rPr>
        <w:t xml:space="preserve">, </w:t>
      </w:r>
      <w:hyperlink r:id="rId14" w:tooltip="http://www.financnisprava.cz/SIPO" w:history="1">
        <w:r w:rsidRPr="00C17A8E">
          <w:rPr>
            <w:rFonts w:eastAsia="Times New Roman" w:cs="Arial"/>
            <w:color w:val="0000FF"/>
            <w:u w:val="single"/>
            <w:lang w:eastAsia="cs-CZ"/>
          </w:rPr>
          <w:t>Placení daně prostřednictvím SIPO</w:t>
        </w:r>
      </w:hyperlink>
    </w:p>
    <w:p w14:paraId="2CED5C30" w14:textId="77777777" w:rsidR="00B1720F" w:rsidRPr="00B1720F" w:rsidRDefault="00B1720F" w:rsidP="00B1720F">
      <w:pPr>
        <w:jc w:val="both"/>
        <w:rPr>
          <w:rFonts w:eastAsia="Times New Roman" w:cs="Arial"/>
          <w:lang w:eastAsia="cs-CZ"/>
        </w:rPr>
      </w:pPr>
    </w:p>
    <w:p w14:paraId="28F66F09" w14:textId="77777777" w:rsidR="002247BD" w:rsidRDefault="00B1720F" w:rsidP="002247BD">
      <w:pPr>
        <w:spacing w:after="0"/>
        <w:jc w:val="right"/>
        <w:rPr>
          <w:rFonts w:cstheme="minorHAnsi"/>
        </w:rPr>
      </w:pPr>
      <w:r>
        <w:rPr>
          <w:rFonts w:cstheme="minorHAnsi"/>
        </w:rPr>
        <w:t>V Praze dne 15</w:t>
      </w:r>
      <w:r w:rsidR="008E1C59">
        <w:rPr>
          <w:rFonts w:cstheme="minorHAnsi"/>
        </w:rPr>
        <w:t>. 4. 2020</w:t>
      </w:r>
    </w:p>
    <w:p w14:paraId="110E7EB2" w14:textId="77777777" w:rsidR="002247BD" w:rsidRPr="00E40288" w:rsidRDefault="002247BD" w:rsidP="002247BD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14:paraId="741F1EA5" w14:textId="77777777" w:rsidR="00E308DE" w:rsidRDefault="002247BD" w:rsidP="002247B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14:paraId="68E791AE" w14:textId="77777777" w:rsidR="002247BD" w:rsidRPr="00FC7D60" w:rsidRDefault="002247BD" w:rsidP="002247BD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14:paraId="16CCB63A" w14:textId="77777777" w:rsidR="002247BD" w:rsidRDefault="002247BD" w:rsidP="002247BD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5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14:paraId="467785C5" w14:textId="77777777" w:rsidR="007C720D" w:rsidRPr="0039072C" w:rsidRDefault="002247BD" w:rsidP="0039072C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sectPr w:rsidR="007C720D" w:rsidRPr="0039072C" w:rsidSect="00923D62">
      <w:headerReference w:type="default" r:id="rId16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3C7D" w14:textId="77777777" w:rsidR="0046339A" w:rsidRDefault="0046339A" w:rsidP="00A44ED9">
      <w:pPr>
        <w:spacing w:after="0" w:line="240" w:lineRule="auto"/>
      </w:pPr>
      <w:r>
        <w:separator/>
      </w:r>
    </w:p>
  </w:endnote>
  <w:endnote w:type="continuationSeparator" w:id="0">
    <w:p w14:paraId="60FC6BDF" w14:textId="77777777" w:rsidR="0046339A" w:rsidRDefault="0046339A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46BE" w14:textId="77777777" w:rsidR="0046339A" w:rsidRDefault="0046339A" w:rsidP="00A44ED9">
      <w:pPr>
        <w:spacing w:after="0" w:line="240" w:lineRule="auto"/>
      </w:pPr>
      <w:r>
        <w:separator/>
      </w:r>
    </w:p>
  </w:footnote>
  <w:footnote w:type="continuationSeparator" w:id="0">
    <w:p w14:paraId="3BB7F88D" w14:textId="77777777" w:rsidR="0046339A" w:rsidRDefault="0046339A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47F5" w14:textId="77777777" w:rsidR="006A4D57" w:rsidRDefault="006A4D57">
    <w:pPr>
      <w:pStyle w:val="Zhlav"/>
    </w:pPr>
  </w:p>
  <w:p w14:paraId="221150AE" w14:textId="77777777" w:rsidR="006A4D57" w:rsidRDefault="006A4D57">
    <w:pPr>
      <w:pStyle w:val="Zhlav"/>
    </w:pPr>
  </w:p>
  <w:p w14:paraId="0D50F26A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6D823" wp14:editId="482E8ADC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55C"/>
    <w:multiLevelType w:val="hybridMultilevel"/>
    <w:tmpl w:val="4C585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13"/>
    <w:multiLevelType w:val="hybridMultilevel"/>
    <w:tmpl w:val="CBB09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C6A6E"/>
    <w:multiLevelType w:val="hybridMultilevel"/>
    <w:tmpl w:val="BFCC7750"/>
    <w:lvl w:ilvl="0" w:tplc="AAEC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8E1"/>
    <w:multiLevelType w:val="hybridMultilevel"/>
    <w:tmpl w:val="30E8A616"/>
    <w:lvl w:ilvl="0" w:tplc="94143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25DE"/>
    <w:multiLevelType w:val="multilevel"/>
    <w:tmpl w:val="E7926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E5B06"/>
    <w:multiLevelType w:val="hybridMultilevel"/>
    <w:tmpl w:val="58A645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0644"/>
    <w:multiLevelType w:val="hybridMultilevel"/>
    <w:tmpl w:val="FCAA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5206"/>
    <w:multiLevelType w:val="multilevel"/>
    <w:tmpl w:val="D5BE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B513B"/>
    <w:multiLevelType w:val="hybridMultilevel"/>
    <w:tmpl w:val="2416B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92A30"/>
    <w:multiLevelType w:val="hybridMultilevel"/>
    <w:tmpl w:val="28EAEC50"/>
    <w:lvl w:ilvl="0" w:tplc="688671E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C01739F"/>
    <w:multiLevelType w:val="multilevel"/>
    <w:tmpl w:val="EFE0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01913"/>
    <w:multiLevelType w:val="multilevel"/>
    <w:tmpl w:val="35E4D5B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15"/>
  </w:num>
  <w:num w:numId="12">
    <w:abstractNumId w:val="8"/>
  </w:num>
  <w:num w:numId="13">
    <w:abstractNumId w:val="16"/>
  </w:num>
  <w:num w:numId="14">
    <w:abstractNumId w:val="14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F1D"/>
    <w:rsid w:val="000034C6"/>
    <w:rsid w:val="000038C9"/>
    <w:rsid w:val="00007EEF"/>
    <w:rsid w:val="00017334"/>
    <w:rsid w:val="000219A0"/>
    <w:rsid w:val="00036556"/>
    <w:rsid w:val="000428F2"/>
    <w:rsid w:val="0008247B"/>
    <w:rsid w:val="00085221"/>
    <w:rsid w:val="00091B65"/>
    <w:rsid w:val="00095605"/>
    <w:rsid w:val="000958CB"/>
    <w:rsid w:val="000A3A20"/>
    <w:rsid w:val="000B3D4A"/>
    <w:rsid w:val="000C037E"/>
    <w:rsid w:val="000C6921"/>
    <w:rsid w:val="000D1BD7"/>
    <w:rsid w:val="000D725D"/>
    <w:rsid w:val="000E1ECC"/>
    <w:rsid w:val="000E61AB"/>
    <w:rsid w:val="000F151A"/>
    <w:rsid w:val="000F1B2D"/>
    <w:rsid w:val="001020FB"/>
    <w:rsid w:val="0010283E"/>
    <w:rsid w:val="00111559"/>
    <w:rsid w:val="00111F67"/>
    <w:rsid w:val="00117BFF"/>
    <w:rsid w:val="00124940"/>
    <w:rsid w:val="00127ADC"/>
    <w:rsid w:val="00130781"/>
    <w:rsid w:val="00135533"/>
    <w:rsid w:val="00137D37"/>
    <w:rsid w:val="00140F5D"/>
    <w:rsid w:val="001502AA"/>
    <w:rsid w:val="00150F46"/>
    <w:rsid w:val="00152050"/>
    <w:rsid w:val="00172B6F"/>
    <w:rsid w:val="00173981"/>
    <w:rsid w:val="00177455"/>
    <w:rsid w:val="00184D72"/>
    <w:rsid w:val="00190B0A"/>
    <w:rsid w:val="00197FA0"/>
    <w:rsid w:val="001A35BA"/>
    <w:rsid w:val="001B2972"/>
    <w:rsid w:val="001C4015"/>
    <w:rsid w:val="001E3BBC"/>
    <w:rsid w:val="001E4F74"/>
    <w:rsid w:val="001F13A9"/>
    <w:rsid w:val="001F7788"/>
    <w:rsid w:val="002015D2"/>
    <w:rsid w:val="00203A4C"/>
    <w:rsid w:val="002247BD"/>
    <w:rsid w:val="002251E1"/>
    <w:rsid w:val="00234775"/>
    <w:rsid w:val="00236496"/>
    <w:rsid w:val="0025216C"/>
    <w:rsid w:val="00271992"/>
    <w:rsid w:val="002759C8"/>
    <w:rsid w:val="00293F48"/>
    <w:rsid w:val="002A3316"/>
    <w:rsid w:val="002A7E5A"/>
    <w:rsid w:val="002B08FE"/>
    <w:rsid w:val="002B63AD"/>
    <w:rsid w:val="002B643F"/>
    <w:rsid w:val="002C254A"/>
    <w:rsid w:val="002D3FB4"/>
    <w:rsid w:val="002D4F9A"/>
    <w:rsid w:val="002E2704"/>
    <w:rsid w:val="002E3898"/>
    <w:rsid w:val="002E6C2B"/>
    <w:rsid w:val="002F041D"/>
    <w:rsid w:val="002F15A0"/>
    <w:rsid w:val="0031553C"/>
    <w:rsid w:val="00316B2E"/>
    <w:rsid w:val="00317706"/>
    <w:rsid w:val="003241B2"/>
    <w:rsid w:val="00341BE4"/>
    <w:rsid w:val="00343501"/>
    <w:rsid w:val="00354704"/>
    <w:rsid w:val="00363FBF"/>
    <w:rsid w:val="00367ABE"/>
    <w:rsid w:val="00376F9F"/>
    <w:rsid w:val="003773B4"/>
    <w:rsid w:val="0039072C"/>
    <w:rsid w:val="003922B5"/>
    <w:rsid w:val="00394928"/>
    <w:rsid w:val="003964F7"/>
    <w:rsid w:val="003A7064"/>
    <w:rsid w:val="003C1ED9"/>
    <w:rsid w:val="003E324D"/>
    <w:rsid w:val="00405CCB"/>
    <w:rsid w:val="004245B9"/>
    <w:rsid w:val="004324F8"/>
    <w:rsid w:val="0044720C"/>
    <w:rsid w:val="0045507E"/>
    <w:rsid w:val="00456C01"/>
    <w:rsid w:val="0046339A"/>
    <w:rsid w:val="00463531"/>
    <w:rsid w:val="00464A2B"/>
    <w:rsid w:val="004650BC"/>
    <w:rsid w:val="0046647B"/>
    <w:rsid w:val="0047125A"/>
    <w:rsid w:val="00471EEA"/>
    <w:rsid w:val="0047347D"/>
    <w:rsid w:val="00476310"/>
    <w:rsid w:val="0047796F"/>
    <w:rsid w:val="00477A5E"/>
    <w:rsid w:val="00483C85"/>
    <w:rsid w:val="004843B2"/>
    <w:rsid w:val="00492C93"/>
    <w:rsid w:val="004A0319"/>
    <w:rsid w:val="004A13D5"/>
    <w:rsid w:val="004B6BA4"/>
    <w:rsid w:val="004B7C43"/>
    <w:rsid w:val="004C4F8B"/>
    <w:rsid w:val="004D3786"/>
    <w:rsid w:val="004D5C59"/>
    <w:rsid w:val="004E5FDB"/>
    <w:rsid w:val="004F5FB5"/>
    <w:rsid w:val="004F7E29"/>
    <w:rsid w:val="005108B5"/>
    <w:rsid w:val="005113B1"/>
    <w:rsid w:val="005117FD"/>
    <w:rsid w:val="005215E2"/>
    <w:rsid w:val="00523158"/>
    <w:rsid w:val="0053178C"/>
    <w:rsid w:val="00540263"/>
    <w:rsid w:val="0054766B"/>
    <w:rsid w:val="0056285E"/>
    <w:rsid w:val="0056390D"/>
    <w:rsid w:val="00564B4F"/>
    <w:rsid w:val="00567741"/>
    <w:rsid w:val="005739AB"/>
    <w:rsid w:val="0058524B"/>
    <w:rsid w:val="00586A9C"/>
    <w:rsid w:val="00591181"/>
    <w:rsid w:val="005A4DE1"/>
    <w:rsid w:val="005E0075"/>
    <w:rsid w:val="005E16DC"/>
    <w:rsid w:val="005E4B79"/>
    <w:rsid w:val="005E780A"/>
    <w:rsid w:val="005F5672"/>
    <w:rsid w:val="00604C08"/>
    <w:rsid w:val="00605303"/>
    <w:rsid w:val="006108D5"/>
    <w:rsid w:val="0063571E"/>
    <w:rsid w:val="00640B79"/>
    <w:rsid w:val="00640F29"/>
    <w:rsid w:val="00682669"/>
    <w:rsid w:val="006834EC"/>
    <w:rsid w:val="00693B66"/>
    <w:rsid w:val="00693B7D"/>
    <w:rsid w:val="006A12AD"/>
    <w:rsid w:val="006A1A9C"/>
    <w:rsid w:val="006A3D8F"/>
    <w:rsid w:val="006A4D57"/>
    <w:rsid w:val="006C2426"/>
    <w:rsid w:val="006E5CDC"/>
    <w:rsid w:val="006F071E"/>
    <w:rsid w:val="006F798C"/>
    <w:rsid w:val="00704AE3"/>
    <w:rsid w:val="0071247C"/>
    <w:rsid w:val="00714470"/>
    <w:rsid w:val="00733880"/>
    <w:rsid w:val="00734F9F"/>
    <w:rsid w:val="0073740E"/>
    <w:rsid w:val="00741B1C"/>
    <w:rsid w:val="00743D76"/>
    <w:rsid w:val="00757F95"/>
    <w:rsid w:val="00764B7F"/>
    <w:rsid w:val="00773ECF"/>
    <w:rsid w:val="00774BB2"/>
    <w:rsid w:val="00776E38"/>
    <w:rsid w:val="00785D67"/>
    <w:rsid w:val="00795C29"/>
    <w:rsid w:val="007A1877"/>
    <w:rsid w:val="007A73F1"/>
    <w:rsid w:val="007B0546"/>
    <w:rsid w:val="007B6647"/>
    <w:rsid w:val="007C720D"/>
    <w:rsid w:val="007D0154"/>
    <w:rsid w:val="007E004A"/>
    <w:rsid w:val="007F0D76"/>
    <w:rsid w:val="007F1C5B"/>
    <w:rsid w:val="007F5B16"/>
    <w:rsid w:val="00800ECE"/>
    <w:rsid w:val="00813181"/>
    <w:rsid w:val="00815E86"/>
    <w:rsid w:val="00827A76"/>
    <w:rsid w:val="00834DE7"/>
    <w:rsid w:val="00846A98"/>
    <w:rsid w:val="008506B1"/>
    <w:rsid w:val="00850F63"/>
    <w:rsid w:val="00857471"/>
    <w:rsid w:val="00860D93"/>
    <w:rsid w:val="008628D0"/>
    <w:rsid w:val="00864CB4"/>
    <w:rsid w:val="00871F66"/>
    <w:rsid w:val="00875866"/>
    <w:rsid w:val="00876AB3"/>
    <w:rsid w:val="0088482C"/>
    <w:rsid w:val="00886D84"/>
    <w:rsid w:val="00897759"/>
    <w:rsid w:val="008A042C"/>
    <w:rsid w:val="008A7328"/>
    <w:rsid w:val="008B5078"/>
    <w:rsid w:val="008C2DC5"/>
    <w:rsid w:val="008E1C59"/>
    <w:rsid w:val="008E6FAA"/>
    <w:rsid w:val="008F3F3A"/>
    <w:rsid w:val="008F5B59"/>
    <w:rsid w:val="009027E1"/>
    <w:rsid w:val="009040FE"/>
    <w:rsid w:val="00905F64"/>
    <w:rsid w:val="0091474C"/>
    <w:rsid w:val="00923D62"/>
    <w:rsid w:val="0093398B"/>
    <w:rsid w:val="00967DCE"/>
    <w:rsid w:val="00975A2C"/>
    <w:rsid w:val="00980A49"/>
    <w:rsid w:val="00981066"/>
    <w:rsid w:val="00984027"/>
    <w:rsid w:val="00992998"/>
    <w:rsid w:val="00993A21"/>
    <w:rsid w:val="009A003A"/>
    <w:rsid w:val="009A7609"/>
    <w:rsid w:val="009C4FE4"/>
    <w:rsid w:val="009D0944"/>
    <w:rsid w:val="009D224B"/>
    <w:rsid w:val="009E29E5"/>
    <w:rsid w:val="009F5913"/>
    <w:rsid w:val="009F7001"/>
    <w:rsid w:val="00A17C22"/>
    <w:rsid w:val="00A211C8"/>
    <w:rsid w:val="00A2479D"/>
    <w:rsid w:val="00A25284"/>
    <w:rsid w:val="00A2771A"/>
    <w:rsid w:val="00A364DB"/>
    <w:rsid w:val="00A368D0"/>
    <w:rsid w:val="00A433A9"/>
    <w:rsid w:val="00A444EB"/>
    <w:rsid w:val="00A44963"/>
    <w:rsid w:val="00A44998"/>
    <w:rsid w:val="00A44ED9"/>
    <w:rsid w:val="00A50C45"/>
    <w:rsid w:val="00A61E5F"/>
    <w:rsid w:val="00A651FE"/>
    <w:rsid w:val="00A723F6"/>
    <w:rsid w:val="00A841D4"/>
    <w:rsid w:val="00A91A2C"/>
    <w:rsid w:val="00AA4F6A"/>
    <w:rsid w:val="00AB482D"/>
    <w:rsid w:val="00AB6599"/>
    <w:rsid w:val="00AD1065"/>
    <w:rsid w:val="00AD1612"/>
    <w:rsid w:val="00AE33B8"/>
    <w:rsid w:val="00B102BD"/>
    <w:rsid w:val="00B15201"/>
    <w:rsid w:val="00B1720F"/>
    <w:rsid w:val="00B17C8E"/>
    <w:rsid w:val="00B2659C"/>
    <w:rsid w:val="00B422B9"/>
    <w:rsid w:val="00B42A84"/>
    <w:rsid w:val="00B50C13"/>
    <w:rsid w:val="00B51844"/>
    <w:rsid w:val="00B52D1F"/>
    <w:rsid w:val="00B53102"/>
    <w:rsid w:val="00B67D25"/>
    <w:rsid w:val="00B743E0"/>
    <w:rsid w:val="00B8406A"/>
    <w:rsid w:val="00B868A1"/>
    <w:rsid w:val="00B96088"/>
    <w:rsid w:val="00B9656D"/>
    <w:rsid w:val="00BA2BDA"/>
    <w:rsid w:val="00BA3030"/>
    <w:rsid w:val="00BA56DA"/>
    <w:rsid w:val="00BC4586"/>
    <w:rsid w:val="00BC4C09"/>
    <w:rsid w:val="00BF2552"/>
    <w:rsid w:val="00C11E29"/>
    <w:rsid w:val="00C2249A"/>
    <w:rsid w:val="00C33726"/>
    <w:rsid w:val="00C40346"/>
    <w:rsid w:val="00C4191C"/>
    <w:rsid w:val="00C4738B"/>
    <w:rsid w:val="00C5632B"/>
    <w:rsid w:val="00C61D4C"/>
    <w:rsid w:val="00C70094"/>
    <w:rsid w:val="00C70DC7"/>
    <w:rsid w:val="00C74571"/>
    <w:rsid w:val="00C75C77"/>
    <w:rsid w:val="00C87F0A"/>
    <w:rsid w:val="00CB7319"/>
    <w:rsid w:val="00CC7EDE"/>
    <w:rsid w:val="00CD5553"/>
    <w:rsid w:val="00CD5A24"/>
    <w:rsid w:val="00CE2E85"/>
    <w:rsid w:val="00D00D77"/>
    <w:rsid w:val="00D15989"/>
    <w:rsid w:val="00D233EA"/>
    <w:rsid w:val="00D243C8"/>
    <w:rsid w:val="00D3372C"/>
    <w:rsid w:val="00D3389A"/>
    <w:rsid w:val="00D36917"/>
    <w:rsid w:val="00D37861"/>
    <w:rsid w:val="00D42C80"/>
    <w:rsid w:val="00D540FC"/>
    <w:rsid w:val="00D62E75"/>
    <w:rsid w:val="00D812FB"/>
    <w:rsid w:val="00D83003"/>
    <w:rsid w:val="00D843B2"/>
    <w:rsid w:val="00D95B7A"/>
    <w:rsid w:val="00D9790A"/>
    <w:rsid w:val="00DA1B1D"/>
    <w:rsid w:val="00DA2F4F"/>
    <w:rsid w:val="00DA47F8"/>
    <w:rsid w:val="00DA53C6"/>
    <w:rsid w:val="00DA63B5"/>
    <w:rsid w:val="00DB3B1E"/>
    <w:rsid w:val="00DB6709"/>
    <w:rsid w:val="00DB6E06"/>
    <w:rsid w:val="00DC2227"/>
    <w:rsid w:val="00DC2EC0"/>
    <w:rsid w:val="00DD1149"/>
    <w:rsid w:val="00DE375F"/>
    <w:rsid w:val="00DE5333"/>
    <w:rsid w:val="00DE69E5"/>
    <w:rsid w:val="00DF0942"/>
    <w:rsid w:val="00DF64C6"/>
    <w:rsid w:val="00DF6A73"/>
    <w:rsid w:val="00E043F6"/>
    <w:rsid w:val="00E11F58"/>
    <w:rsid w:val="00E12F59"/>
    <w:rsid w:val="00E16F12"/>
    <w:rsid w:val="00E266AE"/>
    <w:rsid w:val="00E308DE"/>
    <w:rsid w:val="00E346A7"/>
    <w:rsid w:val="00E36BE9"/>
    <w:rsid w:val="00E41F7F"/>
    <w:rsid w:val="00E64169"/>
    <w:rsid w:val="00E67E40"/>
    <w:rsid w:val="00E7319E"/>
    <w:rsid w:val="00E774EF"/>
    <w:rsid w:val="00E836BD"/>
    <w:rsid w:val="00E925B6"/>
    <w:rsid w:val="00E949A9"/>
    <w:rsid w:val="00EA16F0"/>
    <w:rsid w:val="00EB3F87"/>
    <w:rsid w:val="00ED08F5"/>
    <w:rsid w:val="00ED71F3"/>
    <w:rsid w:val="00ED7FC5"/>
    <w:rsid w:val="00EE378F"/>
    <w:rsid w:val="00EE7BC2"/>
    <w:rsid w:val="00EF387F"/>
    <w:rsid w:val="00F046B0"/>
    <w:rsid w:val="00F0582C"/>
    <w:rsid w:val="00F06948"/>
    <w:rsid w:val="00F17266"/>
    <w:rsid w:val="00F21B1F"/>
    <w:rsid w:val="00F2381C"/>
    <w:rsid w:val="00F37E25"/>
    <w:rsid w:val="00F40A9C"/>
    <w:rsid w:val="00F42E24"/>
    <w:rsid w:val="00F47147"/>
    <w:rsid w:val="00F676CA"/>
    <w:rsid w:val="00F76038"/>
    <w:rsid w:val="00F837DB"/>
    <w:rsid w:val="00F9151A"/>
    <w:rsid w:val="00FA2303"/>
    <w:rsid w:val="00FA696B"/>
    <w:rsid w:val="00FB0D26"/>
    <w:rsid w:val="00FB16A7"/>
    <w:rsid w:val="00FE2E78"/>
    <w:rsid w:val="00FE32E2"/>
    <w:rsid w:val="00FE5E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18495"/>
  <w15:docId w15:val="{6F1BB885-72EE-4262-B362-F9547F6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inancni-zpravodaj_2020-c-04.pdf" TargetMode="External"/><Relationship Id="rId13" Type="http://schemas.openxmlformats.org/officeDocument/2006/relationships/hyperlink" Target="http://www.financnisprava.cz/em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ancnisprava.cz/cs/dane/placeni-dani/jak-spravne-zaplatit-dan/2020/2020-jak-spravne-zaplatit-dan-fu-102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cs/dane/dane/dan-z-nemovitych-veci/Slozenky-pro-placeni-dane-z-nemovitych-ve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uzana.Masatova@fs.mfcr.cz" TargetMode="External"/><Relationship Id="rId10" Type="http://schemas.openxmlformats.org/officeDocument/2006/relationships/hyperlink" Target="https://www.financnisprava.cz/cs/dane/dane/dan-z-nemovitych-veci/informace-stanoviska-a-sdeleni/2020/informace_k_placeni_dane_z_nemovitych_veci_na_rok_2020-10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assets/cs/prilohy/d-zakony/Pokyn_GFR_D-21.pdf" TargetMode="External"/><Relationship Id="rId14" Type="http://schemas.openxmlformats.org/officeDocument/2006/relationships/hyperlink" Target="http://www.financnisprava.cz/SI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EB4B-783E-4DA8-8D72-69E2F1CF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Obec Mokre</cp:lastModifiedBy>
  <cp:revision>4</cp:revision>
  <cp:lastPrinted>2020-04-08T06:07:00Z</cp:lastPrinted>
  <dcterms:created xsi:type="dcterms:W3CDTF">2020-04-15T14:33:00Z</dcterms:created>
  <dcterms:modified xsi:type="dcterms:W3CDTF">2020-04-17T14:30:00Z</dcterms:modified>
</cp:coreProperties>
</file>